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670F" w:rsidRPr="001358A4" w:rsidRDefault="001358A4">
      <w:pPr>
        <w:rPr>
          <w:rFonts w:ascii="Arial" w:hAnsi="Arial" w:cs="Arial"/>
          <w:b/>
          <w:sz w:val="24"/>
          <w:szCs w:val="24"/>
        </w:rPr>
      </w:pPr>
      <w:r w:rsidRPr="001358A4">
        <w:rPr>
          <w:rFonts w:ascii="Arial" w:hAnsi="Arial" w:cs="Arial"/>
          <w:b/>
          <w:sz w:val="24"/>
          <w:szCs w:val="24"/>
        </w:rPr>
        <w:t>Plantill</w:t>
      </w:r>
      <w:r w:rsidR="008F415F">
        <w:rPr>
          <w:rFonts w:ascii="Arial" w:hAnsi="Arial" w:cs="Arial"/>
          <w:b/>
          <w:sz w:val="24"/>
          <w:szCs w:val="24"/>
        </w:rPr>
        <w:t xml:space="preserve">a sobre </w:t>
      </w:r>
      <w:r w:rsidRPr="001358A4">
        <w:rPr>
          <w:rFonts w:ascii="Arial" w:hAnsi="Arial" w:cs="Arial"/>
          <w:b/>
          <w:sz w:val="24"/>
          <w:szCs w:val="24"/>
        </w:rPr>
        <w:t xml:space="preserve">avaluació preliminar </w:t>
      </w:r>
      <w:r w:rsidR="008F415F">
        <w:rPr>
          <w:rFonts w:ascii="Arial" w:hAnsi="Arial" w:cs="Arial"/>
          <w:b/>
          <w:sz w:val="24"/>
          <w:szCs w:val="24"/>
        </w:rPr>
        <w:t>i consulta pública prèvia a l’elaboració de</w:t>
      </w:r>
      <w:r w:rsidRPr="001358A4">
        <w:rPr>
          <w:rFonts w:ascii="Arial" w:hAnsi="Arial" w:cs="Arial"/>
          <w:b/>
          <w:sz w:val="24"/>
          <w:szCs w:val="24"/>
        </w:rPr>
        <w:t xml:space="preserve"> projectes normatius</w:t>
      </w:r>
    </w:p>
    <w:p w:rsidR="000D40FC" w:rsidRPr="000D40FC" w:rsidRDefault="000D40FC">
      <w:pPr>
        <w:rPr>
          <w:rFonts w:ascii="Arial" w:hAnsi="Arial" w:cs="Arial"/>
          <w:b/>
        </w:rPr>
      </w:pPr>
    </w:p>
    <w:p w:rsidR="000D40FC" w:rsidRPr="000D40FC" w:rsidRDefault="000D40FC" w:rsidP="000D40FC">
      <w:pPr>
        <w:outlineLvl w:val="1"/>
        <w:rPr>
          <w:rFonts w:ascii="Arial" w:hAnsi="Arial" w:cs="Arial"/>
          <w:b/>
          <w:color w:val="FF0000"/>
        </w:rPr>
      </w:pPr>
      <w:r w:rsidRPr="000D40FC">
        <w:rPr>
          <w:rFonts w:ascii="Arial" w:hAnsi="Arial" w:cs="Arial"/>
          <w:b/>
        </w:rPr>
        <w:t xml:space="preserve">1. </w:t>
      </w:r>
      <w:r w:rsidRPr="000D40FC">
        <w:rPr>
          <w:rFonts w:ascii="Arial" w:hAnsi="Arial" w:cs="Arial"/>
          <w:b/>
        </w:rPr>
        <w:t>El problemes que es pretenen solucionar</w:t>
      </w:r>
    </w:p>
    <w:p w:rsidR="000D40FC" w:rsidRPr="000D40FC" w:rsidRDefault="000D40FC" w:rsidP="000D40FC">
      <w:pPr>
        <w:rPr>
          <w:rFonts w:ascii="Arial" w:hAnsi="Arial" w:cs="Arial"/>
        </w:rPr>
      </w:pPr>
      <w:r w:rsidRPr="000D40FC">
        <w:rPr>
          <w:rFonts w:ascii="Arial" w:hAnsi="Arial" w:cs="Arial"/>
          <w:i/>
        </w:rPr>
        <w:t>En aquest apartat s’hauria d’explicar el problema detectat la solució del qual planteja la possibilitat d’elaborar una iniciativa normativa. En relació amb aquest problema caldria estimar -de forma sintètica i en la mesura del possible- la seva dimensió, identificar-ne els afectats, les causes que el provoquen, quines són les conseqüències que genera i quina és la probabilitat que persisteixi si no es produeix una intervenció de l’Administració de la Generalitat</w:t>
      </w:r>
      <w:r w:rsidRPr="000D40FC">
        <w:rPr>
          <w:rFonts w:ascii="Arial" w:hAnsi="Arial" w:cs="Arial"/>
        </w:rPr>
        <w:t>.</w:t>
      </w:r>
    </w:p>
    <w:p w:rsidR="000D40FC" w:rsidRPr="000D40FC" w:rsidRDefault="000D40FC" w:rsidP="000D40FC">
      <w:pPr>
        <w:outlineLvl w:val="1"/>
        <w:rPr>
          <w:rFonts w:ascii="Arial" w:hAnsi="Arial" w:cs="Arial"/>
          <w:color w:val="FF0000"/>
        </w:rPr>
      </w:pPr>
      <w:r w:rsidRPr="000D40FC">
        <w:rPr>
          <w:rFonts w:ascii="Arial" w:hAnsi="Arial" w:cs="Arial"/>
          <w:b/>
        </w:rPr>
        <w:t>2. Els objectius que es volen assolir</w:t>
      </w:r>
    </w:p>
    <w:p w:rsidR="000D40FC" w:rsidRPr="000D40FC" w:rsidRDefault="000D40FC" w:rsidP="000D40FC">
      <w:pPr>
        <w:rPr>
          <w:rFonts w:ascii="Arial" w:hAnsi="Arial" w:cs="Arial"/>
          <w:i/>
        </w:rPr>
      </w:pPr>
      <w:r w:rsidRPr="000D40FC">
        <w:rPr>
          <w:rFonts w:ascii="Arial" w:hAnsi="Arial" w:cs="Arial"/>
          <w:i/>
        </w:rPr>
        <w:t>En aquest apartat s’haurien d’enumerar els principals objectius que es considera que s’haurien d’assolir amb la intervenció de l’Administració de la Generalitat davant els problemes assenyalats a l’apartat 1.</w:t>
      </w:r>
    </w:p>
    <w:p w:rsidR="000D40FC" w:rsidRPr="000D40FC" w:rsidRDefault="000D40FC" w:rsidP="000D40FC">
      <w:pPr>
        <w:rPr>
          <w:rFonts w:ascii="Arial" w:hAnsi="Arial" w:cs="Arial"/>
          <w:i/>
          <w:iCs/>
        </w:rPr>
      </w:pPr>
      <w:r w:rsidRPr="000D40FC">
        <w:rPr>
          <w:rFonts w:ascii="Arial" w:hAnsi="Arial" w:cs="Arial"/>
          <w:i/>
          <w:iCs/>
        </w:rPr>
        <w:t xml:space="preserve">Tenint en compte el compromís de compliment de l’Agenda 2030, es recomana considerar si els objectius generals de la iniciativa es troben vinculats a algun dels </w:t>
      </w:r>
      <w:hyperlink r:id="rId6">
        <w:r w:rsidRPr="000D40FC">
          <w:rPr>
            <w:rStyle w:val="Enlla"/>
            <w:rFonts w:ascii="Arial" w:hAnsi="Arial" w:cs="Arial"/>
            <w:i/>
            <w:iCs/>
          </w:rPr>
          <w:t>ODS o les fites previstes</w:t>
        </w:r>
      </w:hyperlink>
      <w:r w:rsidRPr="000D40FC">
        <w:rPr>
          <w:rFonts w:ascii="Arial" w:hAnsi="Arial" w:cs="Arial"/>
          <w:i/>
          <w:iCs/>
        </w:rPr>
        <w:t xml:space="preserve"> en aquesta Agenda.</w:t>
      </w:r>
    </w:p>
    <w:p w:rsidR="000D40FC" w:rsidRPr="000D40FC" w:rsidRDefault="000D40FC" w:rsidP="000D40FC">
      <w:pPr>
        <w:outlineLvl w:val="1"/>
        <w:rPr>
          <w:rFonts w:ascii="Arial" w:hAnsi="Arial" w:cs="Arial"/>
          <w:b/>
          <w:color w:val="FF0000"/>
        </w:rPr>
      </w:pPr>
      <w:r w:rsidRPr="000D40FC">
        <w:rPr>
          <w:rFonts w:ascii="Arial" w:hAnsi="Arial" w:cs="Arial"/>
          <w:b/>
        </w:rPr>
        <w:t>3. Les possibles solucions alternatives normatives i no normatives</w:t>
      </w:r>
    </w:p>
    <w:p w:rsidR="000D40FC" w:rsidRPr="000D40FC" w:rsidRDefault="000D40FC" w:rsidP="000D40FC">
      <w:pPr>
        <w:rPr>
          <w:rFonts w:ascii="Arial" w:hAnsi="Arial" w:cs="Arial"/>
          <w:i/>
        </w:rPr>
      </w:pPr>
      <w:r w:rsidRPr="000D40FC">
        <w:rPr>
          <w:rFonts w:ascii="Arial" w:hAnsi="Arial" w:cs="Arial"/>
          <w:i/>
        </w:rPr>
        <w:t>Cal identificar i explicar els elements principals, com a mínim, de les solucions següents:</w:t>
      </w:r>
    </w:p>
    <w:p w:rsidR="000D40FC" w:rsidRPr="000D40FC" w:rsidRDefault="000D40FC" w:rsidP="000D40FC">
      <w:pPr>
        <w:pStyle w:val="Pargrafdellista"/>
        <w:numPr>
          <w:ilvl w:val="0"/>
          <w:numId w:val="1"/>
        </w:numPr>
        <w:rPr>
          <w:rFonts w:cs="Arial"/>
          <w:i/>
        </w:rPr>
      </w:pPr>
      <w:r w:rsidRPr="000D40FC">
        <w:rPr>
          <w:rFonts w:cs="Arial"/>
          <w:i/>
        </w:rPr>
        <w:t>L’opció de “no fer res” o mantenir la situació actual.</w:t>
      </w:r>
    </w:p>
    <w:p w:rsidR="000D40FC" w:rsidRDefault="000D40FC" w:rsidP="000D40FC">
      <w:pPr>
        <w:pStyle w:val="Pargrafdellista"/>
        <w:numPr>
          <w:ilvl w:val="0"/>
          <w:numId w:val="1"/>
        </w:numPr>
        <w:rPr>
          <w:rFonts w:cs="Arial"/>
          <w:i/>
        </w:rPr>
      </w:pPr>
      <w:r w:rsidRPr="000D40FC">
        <w:rPr>
          <w:rFonts w:cs="Arial"/>
          <w:i/>
        </w:rPr>
        <w:t>L’opció normativa que es considera l’alternativa preferida.</w:t>
      </w:r>
    </w:p>
    <w:p w:rsidR="000D40FC" w:rsidRPr="000D40FC" w:rsidRDefault="000D40FC" w:rsidP="000D40FC">
      <w:pPr>
        <w:pStyle w:val="Pargrafdellista"/>
        <w:rPr>
          <w:rFonts w:cs="Arial"/>
          <w:i/>
        </w:rPr>
      </w:pPr>
    </w:p>
    <w:p w:rsidR="000D40FC" w:rsidRPr="000D40FC" w:rsidRDefault="000D40FC" w:rsidP="000D40FC">
      <w:pPr>
        <w:rPr>
          <w:rFonts w:ascii="Arial" w:hAnsi="Arial" w:cs="Arial"/>
          <w:i/>
        </w:rPr>
      </w:pPr>
      <w:r w:rsidRPr="000D40FC">
        <w:rPr>
          <w:rFonts w:ascii="Arial" w:hAnsi="Arial" w:cs="Arial"/>
          <w:i/>
        </w:rPr>
        <w:t>També s’haurien de posar en relleu les altres solucions alternatives normatives i no normatives considerades per aconseguir els objectius establerts a l’apartat 2.</w:t>
      </w:r>
    </w:p>
    <w:p w:rsidR="000D40FC" w:rsidRPr="000D40FC" w:rsidRDefault="000D40FC" w:rsidP="000D40FC">
      <w:pPr>
        <w:outlineLvl w:val="1"/>
        <w:rPr>
          <w:rFonts w:ascii="Arial" w:hAnsi="Arial" w:cs="Arial"/>
          <w:b/>
          <w:color w:val="FF0000"/>
        </w:rPr>
      </w:pPr>
      <w:r w:rsidRPr="000D40FC">
        <w:rPr>
          <w:rFonts w:ascii="Arial" w:hAnsi="Arial" w:cs="Arial"/>
          <w:b/>
        </w:rPr>
        <w:t xml:space="preserve">4. Els impactes més rellevants de les diferents opcions considerades: </w:t>
      </w:r>
    </w:p>
    <w:p w:rsidR="000D40FC" w:rsidRPr="000D40FC" w:rsidRDefault="000D40FC" w:rsidP="000D40FC">
      <w:pPr>
        <w:outlineLvl w:val="2"/>
        <w:rPr>
          <w:rFonts w:ascii="Arial" w:hAnsi="Arial" w:cs="Arial"/>
          <w:b/>
        </w:rPr>
      </w:pPr>
      <w:r w:rsidRPr="000D40FC">
        <w:rPr>
          <w:rFonts w:ascii="Arial" w:hAnsi="Arial" w:cs="Arial"/>
          <w:b/>
        </w:rPr>
        <w:t>a) L’impacte sobre l’Administració de la Generalitat.</w:t>
      </w:r>
    </w:p>
    <w:p w:rsidR="000D40FC" w:rsidRPr="000D40FC" w:rsidRDefault="000D40FC" w:rsidP="000D40FC">
      <w:pPr>
        <w:outlineLvl w:val="2"/>
        <w:rPr>
          <w:rFonts w:ascii="Arial" w:hAnsi="Arial" w:cs="Arial"/>
          <w:b/>
        </w:rPr>
      </w:pPr>
      <w:r w:rsidRPr="000D40FC">
        <w:rPr>
          <w:rFonts w:ascii="Arial" w:hAnsi="Arial" w:cs="Arial"/>
          <w:b/>
        </w:rPr>
        <w:t xml:space="preserve">b) L’impacte sobre les administracions locals, tenint en compte la seva dimensió i el règim especial de Barcelona. </w:t>
      </w:r>
    </w:p>
    <w:p w:rsidR="000D40FC" w:rsidRPr="000D40FC" w:rsidRDefault="000D40FC" w:rsidP="000D40FC">
      <w:pPr>
        <w:outlineLvl w:val="2"/>
        <w:rPr>
          <w:rFonts w:ascii="Arial" w:hAnsi="Arial" w:cs="Arial"/>
          <w:b/>
        </w:rPr>
      </w:pPr>
      <w:r w:rsidRPr="000D40FC">
        <w:rPr>
          <w:rFonts w:ascii="Arial" w:hAnsi="Arial" w:cs="Arial"/>
          <w:b/>
        </w:rPr>
        <w:t>c) L’impacte sobre les mesures d’intervenció administrativa i des de la perspectiva de la reducció de càrregues administratives per als ciutadans i per a les empreses.</w:t>
      </w:r>
    </w:p>
    <w:p w:rsidR="000D40FC" w:rsidRPr="000D40FC" w:rsidRDefault="000D40FC" w:rsidP="000D40FC">
      <w:pPr>
        <w:outlineLvl w:val="2"/>
        <w:rPr>
          <w:rFonts w:ascii="Arial" w:hAnsi="Arial" w:cs="Arial"/>
          <w:b/>
          <w:bCs/>
        </w:rPr>
      </w:pPr>
      <w:r w:rsidRPr="000D40FC">
        <w:rPr>
          <w:rFonts w:ascii="Arial" w:hAnsi="Arial" w:cs="Arial"/>
          <w:b/>
          <w:bCs/>
        </w:rPr>
        <w:t xml:space="preserve"> d) Els impactes econòmics, socials o ambientals rellevants que no s’hagin valorat als apartats anteriors. </w:t>
      </w:r>
    </w:p>
    <w:p w:rsidR="000D40FC" w:rsidRPr="000D40FC" w:rsidRDefault="000D40FC" w:rsidP="000D40FC">
      <w:pPr>
        <w:rPr>
          <w:rFonts w:ascii="Arial" w:hAnsi="Arial" w:cs="Arial"/>
          <w:i/>
        </w:rPr>
      </w:pPr>
      <w:r w:rsidRPr="000D40FC">
        <w:rPr>
          <w:rFonts w:ascii="Arial" w:hAnsi="Arial" w:cs="Arial"/>
          <w:i/>
        </w:rPr>
        <w:t>Si ja es disposa d’una opció normativa preferida entre les solucions possibles que es plantegen, s’han de valorar les repercussions més rellevants que es preveu que tindria aquesta alternativa des de les perspectives indicades a les lletres a), b), c) i d). Com sempre, cal identificar l’opció de “no fer res” o mantenir la situació actual, i s’espera que hi hagi una certa contraposició entre els efectes d’aquestes dues opcions. Per al cas que s’hagin identificat altres opcions amb efectes substancialment diferents als de les indicades, també fora bo fer-ho palès.</w:t>
      </w:r>
    </w:p>
    <w:p w:rsidR="000D40FC" w:rsidRPr="000D40FC" w:rsidRDefault="000D40FC" w:rsidP="000D40FC">
      <w:pPr>
        <w:rPr>
          <w:rFonts w:ascii="Arial" w:hAnsi="Arial" w:cs="Arial"/>
          <w:i/>
        </w:rPr>
      </w:pPr>
      <w:r w:rsidRPr="000D40FC">
        <w:rPr>
          <w:rFonts w:ascii="Arial" w:hAnsi="Arial" w:cs="Arial"/>
          <w:i/>
        </w:rPr>
        <w:t xml:space="preserve">Ara bé, tenint en compte que es tracta d’una avaluació preliminar, no cal una anàlisi en profunditat sinó que és suficient amb una valoració succinta dels impactes que s’hagin detectat en una anàlisi inicial. Serà en la memòria d’avaluació, un cop s’hagin triat les opcions i </w:t>
      </w:r>
      <w:proofErr w:type="spellStart"/>
      <w:r w:rsidRPr="000D40FC">
        <w:rPr>
          <w:rFonts w:ascii="Arial" w:hAnsi="Arial" w:cs="Arial"/>
          <w:i/>
        </w:rPr>
        <w:t>subopcions</w:t>
      </w:r>
      <w:proofErr w:type="spellEnd"/>
      <w:r w:rsidRPr="000D40FC">
        <w:rPr>
          <w:rFonts w:ascii="Arial" w:hAnsi="Arial" w:cs="Arial"/>
          <w:i/>
        </w:rPr>
        <w:t xml:space="preserve"> que eventualment es concretin en un text normatiu, quan s’hagi de recollir una anàlisi completa dels impactes.</w:t>
      </w:r>
    </w:p>
    <w:p w:rsidR="000D40FC" w:rsidRPr="000D40FC" w:rsidRDefault="000D40FC" w:rsidP="000D40FC">
      <w:pPr>
        <w:outlineLvl w:val="1"/>
        <w:rPr>
          <w:rFonts w:ascii="Arial" w:hAnsi="Arial" w:cs="Arial"/>
          <w:b/>
          <w:color w:val="FF0000"/>
        </w:rPr>
      </w:pPr>
      <w:r w:rsidRPr="000D40FC">
        <w:rPr>
          <w:rFonts w:ascii="Arial" w:hAnsi="Arial" w:cs="Arial"/>
          <w:b/>
        </w:rPr>
        <w:t>5. La procedència d’efectuar una consulta pública prèvia o bé la justificació de les excepcions que hi puguin concórrer, així com la valoració de la necessitat d’emprar, en el seu cas, altres eines i canals de participació complementaris a la publicació al Portal de la Transparència</w:t>
      </w:r>
    </w:p>
    <w:p w:rsidR="000D40FC" w:rsidRPr="000D40FC" w:rsidRDefault="000D40FC" w:rsidP="000D40FC">
      <w:pPr>
        <w:rPr>
          <w:rFonts w:ascii="Arial" w:hAnsi="Arial" w:cs="Arial"/>
          <w:i/>
          <w:iCs/>
        </w:rPr>
      </w:pPr>
      <w:r w:rsidRPr="000D40FC">
        <w:rPr>
          <w:rFonts w:ascii="Arial" w:hAnsi="Arial" w:cs="Arial"/>
          <w:i/>
          <w:iCs/>
        </w:rPr>
        <w:t>En el cas de les avaluacions preliminars relatives als avantprojectes de llei, en aquest apartat la unitat promotora ha de valorar si cal fer la consulta pública. Quan aquesta sigui procedent, la memòria preliminar serà el document objecte de consulta.</w:t>
      </w:r>
    </w:p>
    <w:p w:rsidR="000D40FC" w:rsidRPr="000D40FC" w:rsidRDefault="000D40FC" w:rsidP="000D40FC">
      <w:pPr>
        <w:rPr>
          <w:rFonts w:ascii="Arial" w:hAnsi="Arial" w:cs="Arial"/>
          <w:i/>
          <w:iCs/>
        </w:rPr>
      </w:pPr>
      <w:r w:rsidRPr="000D40FC">
        <w:rPr>
          <w:rFonts w:ascii="Arial" w:hAnsi="Arial" w:cs="Arial"/>
          <w:i/>
          <w:iCs/>
        </w:rPr>
        <w:t>Aquest apartat no és necessari en el cas de les consultes públiques prèvies a l’elaboració de disposicions reglamentàries, però, si es considera convenient aprofundir en les raons per les quals es fa la consulta o es vol explicar quines altres eines o canals de participació complementaris es faran servir, es pot afegir aquest apartat i desenvolupar-ne el contingut.</w:t>
      </w:r>
    </w:p>
    <w:p w:rsidR="000D40FC" w:rsidRPr="000D40FC" w:rsidRDefault="000D40FC" w:rsidP="000D40FC">
      <w:pPr>
        <w:rPr>
          <w:rFonts w:ascii="Arial" w:hAnsi="Arial" w:cs="Arial"/>
        </w:rPr>
      </w:pPr>
    </w:p>
    <w:p w:rsidR="00B04D20" w:rsidRPr="000D40FC" w:rsidRDefault="00B04D20" w:rsidP="000D40FC">
      <w:pPr>
        <w:rPr>
          <w:rFonts w:ascii="Arial" w:hAnsi="Arial" w:cs="Arial"/>
        </w:rPr>
      </w:pPr>
    </w:p>
    <w:sectPr w:rsidR="00B04D20" w:rsidRPr="000D40F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C343CA"/>
    <w:multiLevelType w:val="hybridMultilevel"/>
    <w:tmpl w:val="B6FA4088"/>
    <w:lvl w:ilvl="0" w:tplc="7DDA8B2A">
      <w:start w:val="2"/>
      <w:numFmt w:val="bullet"/>
      <w:lvlText w:val="-"/>
      <w:lvlJc w:val="left"/>
      <w:pPr>
        <w:ind w:left="720" w:hanging="360"/>
      </w:pPr>
      <w:rPr>
        <w:rFonts w:ascii="Arial" w:eastAsia="Calibri"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6640017F"/>
    <w:multiLevelType w:val="hybridMultilevel"/>
    <w:tmpl w:val="44E8DB34"/>
    <w:lvl w:ilvl="0" w:tplc="882A5128">
      <w:start w:val="1"/>
      <w:numFmt w:val="bullet"/>
      <w:lvlText w:val=""/>
      <w:lvlJc w:val="left"/>
      <w:pPr>
        <w:ind w:left="1440" w:hanging="360"/>
      </w:pPr>
      <w:rPr>
        <w:rFonts w:ascii="Symbol" w:hAnsi="Symbol" w:hint="default"/>
      </w:rPr>
    </w:lvl>
    <w:lvl w:ilvl="1" w:tplc="04030003" w:tentative="1">
      <w:start w:val="1"/>
      <w:numFmt w:val="bullet"/>
      <w:lvlText w:val="o"/>
      <w:lvlJc w:val="left"/>
      <w:pPr>
        <w:ind w:left="2160" w:hanging="360"/>
      </w:pPr>
      <w:rPr>
        <w:rFonts w:ascii="Courier New" w:hAnsi="Courier New" w:cs="Courier New" w:hint="default"/>
      </w:rPr>
    </w:lvl>
    <w:lvl w:ilvl="2" w:tplc="04030005" w:tentative="1">
      <w:start w:val="1"/>
      <w:numFmt w:val="bullet"/>
      <w:lvlText w:val=""/>
      <w:lvlJc w:val="left"/>
      <w:pPr>
        <w:ind w:left="2880" w:hanging="360"/>
      </w:pPr>
      <w:rPr>
        <w:rFonts w:ascii="Wingdings" w:hAnsi="Wingdings" w:hint="default"/>
      </w:rPr>
    </w:lvl>
    <w:lvl w:ilvl="3" w:tplc="04030001" w:tentative="1">
      <w:start w:val="1"/>
      <w:numFmt w:val="bullet"/>
      <w:lvlText w:val=""/>
      <w:lvlJc w:val="left"/>
      <w:pPr>
        <w:ind w:left="3600" w:hanging="360"/>
      </w:pPr>
      <w:rPr>
        <w:rFonts w:ascii="Symbol" w:hAnsi="Symbol" w:hint="default"/>
      </w:rPr>
    </w:lvl>
    <w:lvl w:ilvl="4" w:tplc="04030003" w:tentative="1">
      <w:start w:val="1"/>
      <w:numFmt w:val="bullet"/>
      <w:lvlText w:val="o"/>
      <w:lvlJc w:val="left"/>
      <w:pPr>
        <w:ind w:left="4320" w:hanging="360"/>
      </w:pPr>
      <w:rPr>
        <w:rFonts w:ascii="Courier New" w:hAnsi="Courier New" w:cs="Courier New" w:hint="default"/>
      </w:rPr>
    </w:lvl>
    <w:lvl w:ilvl="5" w:tplc="04030005" w:tentative="1">
      <w:start w:val="1"/>
      <w:numFmt w:val="bullet"/>
      <w:lvlText w:val=""/>
      <w:lvlJc w:val="left"/>
      <w:pPr>
        <w:ind w:left="5040" w:hanging="360"/>
      </w:pPr>
      <w:rPr>
        <w:rFonts w:ascii="Wingdings" w:hAnsi="Wingdings" w:hint="default"/>
      </w:rPr>
    </w:lvl>
    <w:lvl w:ilvl="6" w:tplc="04030001" w:tentative="1">
      <w:start w:val="1"/>
      <w:numFmt w:val="bullet"/>
      <w:lvlText w:val=""/>
      <w:lvlJc w:val="left"/>
      <w:pPr>
        <w:ind w:left="5760" w:hanging="360"/>
      </w:pPr>
      <w:rPr>
        <w:rFonts w:ascii="Symbol" w:hAnsi="Symbol" w:hint="default"/>
      </w:rPr>
    </w:lvl>
    <w:lvl w:ilvl="7" w:tplc="04030003" w:tentative="1">
      <w:start w:val="1"/>
      <w:numFmt w:val="bullet"/>
      <w:lvlText w:val="o"/>
      <w:lvlJc w:val="left"/>
      <w:pPr>
        <w:ind w:left="6480" w:hanging="360"/>
      </w:pPr>
      <w:rPr>
        <w:rFonts w:ascii="Courier New" w:hAnsi="Courier New" w:cs="Courier New" w:hint="default"/>
      </w:rPr>
    </w:lvl>
    <w:lvl w:ilvl="8" w:tplc="04030005" w:tentative="1">
      <w:start w:val="1"/>
      <w:numFmt w:val="bullet"/>
      <w:lvlText w:val=""/>
      <w:lvlJc w:val="left"/>
      <w:pPr>
        <w:ind w:left="720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C64"/>
    <w:rsid w:val="000D40FC"/>
    <w:rsid w:val="000E2273"/>
    <w:rsid w:val="001358A4"/>
    <w:rsid w:val="001619C0"/>
    <w:rsid w:val="00585C64"/>
    <w:rsid w:val="005F5B36"/>
    <w:rsid w:val="008F415F"/>
    <w:rsid w:val="00B04D20"/>
    <w:rsid w:val="00DE670F"/>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28EC5"/>
  <w15:chartTrackingRefBased/>
  <w15:docId w15:val="{A01EB37F-2E1C-4A05-AC0D-35A27D62B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a-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styleId="Enlla">
    <w:name w:val="Hyperlink"/>
    <w:basedOn w:val="Tipusdelletraperdefectedelpargraf"/>
    <w:uiPriority w:val="99"/>
    <w:unhideWhenUsed/>
    <w:rsid w:val="00B04D20"/>
    <w:rPr>
      <w:color w:val="0563C1" w:themeColor="hyperlink"/>
      <w:u w:val="single"/>
    </w:rPr>
  </w:style>
  <w:style w:type="paragraph" w:styleId="Pargrafdellista">
    <w:name w:val="List Paragraph"/>
    <w:basedOn w:val="Normal"/>
    <w:uiPriority w:val="34"/>
    <w:qFormat/>
    <w:rsid w:val="00B04D20"/>
    <w:pPr>
      <w:spacing w:after="0" w:line="240" w:lineRule="auto"/>
      <w:ind w:left="720"/>
      <w:contextualSpacing/>
    </w:pPr>
    <w:rPr>
      <w:rFonts w:ascii="Arial" w:eastAsia="Calibri" w:hAnsi="Arial"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cads.gencat.cat/web/.content/Documents/Publicacions/Coleccio_Documents/DOCUMENTS_21_Resolucio_NNUU_AGENDA_2030.pdf" TargetMode="External"/><Relationship Id="rId11" Type="http://schemas.openxmlformats.org/officeDocument/2006/relationships/customXml" Target="../customXml/item4.xml"/><Relationship Id="rId5" Type="http://schemas.openxmlformats.org/officeDocument/2006/relationships/webSettings" Target="webSettings.xml"/><Relationship Id="rId10"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customXml" Target="../customXml/item2.xml"/></Relationships>
</file>

<file path=word/theme/theme1.xml><?xml version="1.0" encoding="utf-8"?>
<a:theme xmlns:a="http://schemas.openxmlformats.org/drawingml/2006/main" name="Tema de l'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09864C3D44DF4F8808AB536D080E1E" ma:contentTypeVersion="0" ma:contentTypeDescription="Create a new document." ma:contentTypeScope="" ma:versionID="bdc2deb59c5b85d9a02fe0d6a886f9fe">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5A9DEF8-9D6A-4213-AFB2-301E7DA31CE4}">
  <ds:schemaRefs>
    <ds:schemaRef ds:uri="http://schemas.openxmlformats.org/officeDocument/2006/bibliography"/>
  </ds:schemaRefs>
</ds:datastoreItem>
</file>

<file path=customXml/itemProps2.xml><?xml version="1.0" encoding="utf-8"?>
<ds:datastoreItem xmlns:ds="http://schemas.openxmlformats.org/officeDocument/2006/customXml" ds:itemID="{02750786-BE3E-45C7-A44E-51D22695D46F}"/>
</file>

<file path=customXml/itemProps3.xml><?xml version="1.0" encoding="utf-8"?>
<ds:datastoreItem xmlns:ds="http://schemas.openxmlformats.org/officeDocument/2006/customXml" ds:itemID="{901FEA93-2117-4290-BD78-7FEE3A82AABD}"/>
</file>

<file path=customXml/itemProps4.xml><?xml version="1.0" encoding="utf-8"?>
<ds:datastoreItem xmlns:ds="http://schemas.openxmlformats.org/officeDocument/2006/customXml" ds:itemID="{5F3915FF-4547-4DA3-A1B6-CF829097F8FF}"/>
</file>

<file path=docProps/app.xml><?xml version="1.0" encoding="utf-8"?>
<Properties xmlns="http://schemas.openxmlformats.org/officeDocument/2006/extended-properties" xmlns:vt="http://schemas.openxmlformats.org/officeDocument/2006/docPropsVTypes">
  <Template>Normal</Template>
  <TotalTime>11</TotalTime>
  <Pages>1</Pages>
  <Words>602</Words>
  <Characters>3435</Characters>
  <Application>Microsoft Office Word</Application>
  <DocSecurity>0</DocSecurity>
  <Lines>28</Lines>
  <Paragraphs>8</Paragraphs>
  <ScaleCrop>false</ScaleCrop>
  <HeadingPairs>
    <vt:vector size="2" baseType="variant">
      <vt:variant>
        <vt:lpstr>Títol</vt:lpstr>
      </vt:variant>
      <vt:variant>
        <vt:i4>1</vt:i4>
      </vt:variant>
    </vt:vector>
  </HeadingPairs>
  <TitlesOfParts>
    <vt:vector size="1" baseType="lpstr">
      <vt:lpstr/>
    </vt:vector>
  </TitlesOfParts>
  <Company>CTTI</Company>
  <LinksUpToDate>false</LinksUpToDate>
  <CharactersWithSpaces>4029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Dieguez Rodriguez, Ester</dc:creator>
  <cp:keywords/>
  <dc:description/>
  <cp:lastModifiedBy>AMR</cp:lastModifiedBy>
  <cp:revision>6</cp:revision>
  <dcterms:created xsi:type="dcterms:W3CDTF">2021-03-09T10:39:00Z</dcterms:created>
  <dcterms:modified xsi:type="dcterms:W3CDTF">2021-03-09T10:49:00Z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0x0101001109864C3D44DF4F8808AB536D080E1E</vt:lpwstr>
  </property>
  <property fmtid="{D5CDD505-2E9C-101B-9397-08002B2CF9AE}" pid="3" name="Order">
    <vt:r8>100</vt:r8>
  </property>
  <property fmtid="{D5CDD505-2E9C-101B-9397-08002B2CF9AE}" pid="4" name="TemplateUrl">
    <vt:lpwstr/>
  </property>
  <property fmtid="{D5CDD505-2E9C-101B-9397-08002B2CF9AE}" pid="5" name="_SourceUrl">
    <vt:lpwstr/>
  </property>
  <property fmtid="{D5CDD505-2E9C-101B-9397-08002B2CF9AE}" pid="6" name="_SharedFileIndex">
    <vt:lpwstr/>
  </property>
  <property fmtid="{D5CDD505-2E9C-101B-9397-08002B2CF9AE}" pid="7" name="xd_Signature">
    <vt:bool>false</vt:bool>
  </property>
  <property fmtid="{D5CDD505-2E9C-101B-9397-08002B2CF9AE}" pid="8" name="xd_ProgID">
    <vt:lpwstr/>
  </property>
</Properties>
</file>